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4CC8" w:rsidRPr="00974CC8" w:rsidTr="00974CC8">
        <w:tc>
          <w:tcPr>
            <w:tcW w:w="9062" w:type="dxa"/>
          </w:tcPr>
          <w:p w:rsidR="00974CC8" w:rsidRPr="00974CC8" w:rsidRDefault="00974CC8" w:rsidP="008102D5">
            <w:pPr>
              <w:shd w:val="clear" w:color="auto" w:fill="FFFFFF"/>
              <w:textAlignment w:val="baseline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l-BE"/>
              </w:rPr>
            </w:pPr>
            <w:r w:rsidRPr="00974CC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l-BE"/>
              </w:rPr>
              <w:t>AANDACHTSPUNTEN BEROEPSPROCEDURE TEGEN PVB VERLAGING CF2</w:t>
            </w:r>
          </w:p>
        </w:tc>
      </w:tr>
    </w:tbl>
    <w:p w:rsidR="00974CC8" w:rsidRPr="00974CC8" w:rsidRDefault="00974CC8" w:rsidP="00974CC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</w:p>
    <w:p w:rsidR="00974CC8" w:rsidRPr="00974CC8" w:rsidRDefault="00974CC8" w:rsidP="00974CC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D</w:t>
      </w:r>
      <w:r w:rsidRPr="00974CC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e procedure is eigenlijk zeer eenvoudig in te leiden met ee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n</w:t>
      </w:r>
      <w:r w:rsidRPr="00974CC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 aanvraag formulier. </w:t>
      </w:r>
      <w:r w:rsidR="00137362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Onder dit artikel vind je een modelbrief. </w:t>
      </w:r>
      <w:r w:rsidRPr="00974CC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Je kan door beroep aan te tekenen ook niets extra kwijtspelen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; grootste gevaar is </w:t>
      </w:r>
      <w:r w:rsidRPr="00974CC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enkel je energie (en </w:t>
      </w:r>
      <w:proofErr w:type="spellStart"/>
      <w:r w:rsidRPr="00974CC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evt</w:t>
      </w:r>
      <w:proofErr w:type="spellEnd"/>
      <w:r w:rsidRPr="00974CC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 advocaten kosten )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 xml:space="preserve">te </w:t>
      </w:r>
      <w:r w:rsidRPr="00974CC8"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  <w:t>verliezen.</w:t>
      </w:r>
    </w:p>
    <w:p w:rsidR="00974CC8" w:rsidRPr="00974CC8" w:rsidRDefault="00974CC8" w:rsidP="00974CC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</w:p>
    <w:p w:rsidR="00974CC8" w:rsidRPr="00974CC8" w:rsidRDefault="00974CC8" w:rsidP="00974C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01F1E"/>
          <w:sz w:val="23"/>
          <w:szCs w:val="23"/>
          <w:lang w:eastAsia="nl-BE"/>
        </w:rPr>
      </w:pPr>
      <w:r w:rsidRPr="00974CC8">
        <w:rPr>
          <w:rFonts w:ascii="Calibri" w:eastAsia="Times New Roman" w:hAnsi="Calibri" w:cs="Times New Roman"/>
          <w:color w:val="323130"/>
          <w:sz w:val="24"/>
          <w:szCs w:val="24"/>
          <w:lang w:eastAsia="nl-BE"/>
        </w:rPr>
        <w:t> </w:t>
      </w:r>
      <w:r w:rsidRPr="00974CC8">
        <w:rPr>
          <w:rFonts w:eastAsia="Times New Roman" w:cs="Times New Roman"/>
          <w:b/>
          <w:bCs/>
          <w:color w:val="201F1E"/>
          <w:sz w:val="23"/>
          <w:szCs w:val="23"/>
          <w:lang w:eastAsia="nl-BE"/>
        </w:rPr>
        <w:t>Qua beroepsprocedure bij de arbeidsrechtbank:</w:t>
      </w:r>
    </w:p>
    <w:p w:rsidR="00974CC8" w:rsidRPr="00974CC8" w:rsidRDefault="00974CC8" w:rsidP="00974CC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323130"/>
          <w:sz w:val="24"/>
          <w:szCs w:val="24"/>
          <w:lang w:eastAsia="nl-BE"/>
        </w:rPr>
      </w:pPr>
      <w:r w:rsidRPr="00974CC8">
        <w:rPr>
          <w:rFonts w:ascii="Calibri" w:eastAsia="Times New Roman" w:hAnsi="Calibri" w:cs="Times New Roman"/>
          <w:color w:val="323130"/>
          <w:sz w:val="24"/>
          <w:szCs w:val="24"/>
          <w:lang w:eastAsia="nl-BE"/>
        </w:rPr>
        <w:t>Hoe moet je dit inleiden, via een eenvoudig formulier.  Referte is “ons kenmerk” en VAPH nummer van de brief van het VAPH.</w:t>
      </w:r>
    </w:p>
    <w:p w:rsidR="00974CC8" w:rsidRPr="00974CC8" w:rsidRDefault="00974CC8" w:rsidP="00974CC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323130"/>
          <w:sz w:val="24"/>
          <w:szCs w:val="24"/>
          <w:lang w:eastAsia="nl-BE"/>
        </w:rPr>
      </w:pPr>
      <w:r w:rsidRPr="00974CC8">
        <w:rPr>
          <w:rFonts w:ascii="Calibri" w:eastAsia="Times New Roman" w:hAnsi="Calibri" w:cs="Times New Roman"/>
          <w:color w:val="323130"/>
          <w:sz w:val="24"/>
          <w:szCs w:val="24"/>
          <w:lang w:eastAsia="nl-BE"/>
        </w:rPr>
        <w:t xml:space="preserve">Bij om “volgende redenen” vb. niet overeenkomen toestand vandaag (zorgvraag, </w:t>
      </w:r>
      <w:proofErr w:type="spellStart"/>
      <w:r w:rsidRPr="00974CC8">
        <w:rPr>
          <w:rFonts w:ascii="Calibri" w:eastAsia="Times New Roman" w:hAnsi="Calibri" w:cs="Times New Roman"/>
          <w:color w:val="323130"/>
          <w:sz w:val="24"/>
          <w:szCs w:val="24"/>
          <w:lang w:eastAsia="nl-BE"/>
        </w:rPr>
        <w:t>zorgvraagte</w:t>
      </w:r>
      <w:proofErr w:type="spellEnd"/>
      <w:r w:rsidRPr="00974CC8">
        <w:rPr>
          <w:rFonts w:ascii="Calibri" w:eastAsia="Times New Roman" w:hAnsi="Calibri" w:cs="Times New Roman"/>
          <w:color w:val="323130"/>
          <w:sz w:val="24"/>
          <w:szCs w:val="24"/>
          <w:lang w:eastAsia="nl-BE"/>
        </w:rPr>
        <w:t>) met toestand op 31/12/2016.</w:t>
      </w:r>
      <w:r>
        <w:rPr>
          <w:rFonts w:ascii="Calibri" w:eastAsia="Times New Roman" w:hAnsi="Calibri" w:cs="Times New Roman"/>
          <w:color w:val="323130"/>
          <w:sz w:val="24"/>
          <w:szCs w:val="24"/>
          <w:lang w:eastAsia="nl-BE"/>
        </w:rPr>
        <w:t xml:space="preserve"> Zie verder bij ‘Argumentatie’. </w:t>
      </w:r>
    </w:p>
    <w:p w:rsidR="00974CC8" w:rsidRPr="00974CC8" w:rsidRDefault="00974CC8" w:rsidP="00974CC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323130"/>
          <w:sz w:val="24"/>
          <w:szCs w:val="24"/>
          <w:lang w:eastAsia="nl-BE"/>
        </w:rPr>
      </w:pPr>
      <w:r w:rsidRPr="00974CC8">
        <w:rPr>
          <w:rFonts w:ascii="Calibri" w:eastAsia="Times New Roman" w:hAnsi="Calibri" w:cs="Times New Roman"/>
          <w:color w:val="323130"/>
          <w:sz w:val="24"/>
          <w:szCs w:val="24"/>
          <w:lang w:eastAsia="nl-BE"/>
        </w:rPr>
        <w:t> </w:t>
      </w:r>
    </w:p>
    <w:p w:rsidR="00974CC8" w:rsidRPr="00974CC8" w:rsidRDefault="00974CC8" w:rsidP="00974CC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</w:p>
    <w:p w:rsidR="00F561C5" w:rsidRDefault="00974CC8" w:rsidP="00F561C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3"/>
          <w:szCs w:val="23"/>
          <w:bdr w:val="none" w:sz="0" w:space="0" w:color="auto" w:frame="1"/>
          <w:shd w:val="clear" w:color="auto" w:fill="FFFFFF"/>
        </w:rPr>
      </w:pPr>
      <w:r w:rsidRPr="00974CC8">
        <w:rPr>
          <w:b/>
          <w:bCs/>
          <w:i/>
          <w:iCs/>
          <w:color w:val="201F1E"/>
          <w:sz w:val="23"/>
          <w:szCs w:val="23"/>
        </w:rPr>
        <w:t>Periode om in beroep te gaan</w:t>
      </w:r>
      <w:r w:rsidRPr="00974CC8">
        <w:rPr>
          <w:color w:val="000000"/>
        </w:rPr>
        <w:br/>
      </w:r>
      <w:r w:rsidRPr="00F561C5">
        <w:rPr>
          <w:rFonts w:asciiTheme="minorHAnsi" w:hAnsiTheme="minorHAnsi"/>
          <w:color w:val="201F1E"/>
          <w:sz w:val="23"/>
          <w:szCs w:val="23"/>
          <w:bdr w:val="none" w:sz="0" w:space="0" w:color="auto" w:frame="1"/>
          <w:shd w:val="clear" w:color="auto" w:fill="FFFFFF"/>
        </w:rPr>
        <w:t>Gezien op de brief van het VAPH 25 september is vermeld, is de uiterste datum voor het indienen  van bezwaar 25 december 20</w:t>
      </w:r>
      <w:r w:rsidR="00F561C5">
        <w:rPr>
          <w:rFonts w:asciiTheme="minorHAnsi" w:hAnsiTheme="minorHAnsi"/>
          <w:color w:val="201F1E"/>
          <w:sz w:val="23"/>
          <w:szCs w:val="23"/>
          <w:bdr w:val="none" w:sz="0" w:space="0" w:color="auto" w:frame="1"/>
          <w:shd w:val="clear" w:color="auto" w:fill="FFFFFF"/>
        </w:rPr>
        <w:t>19</w:t>
      </w:r>
      <w:r w:rsidRPr="00F561C5">
        <w:rPr>
          <w:rFonts w:asciiTheme="minorHAnsi" w:hAnsiTheme="minorHAnsi"/>
          <w:color w:val="201F1E"/>
          <w:sz w:val="23"/>
          <w:szCs w:val="23"/>
          <w:bdr w:val="none" w:sz="0" w:space="0" w:color="auto" w:frame="1"/>
          <w:shd w:val="clear" w:color="auto" w:fill="FFFFFF"/>
        </w:rPr>
        <w:t>.</w:t>
      </w:r>
      <w:r w:rsidRPr="00F561C5">
        <w:rPr>
          <w:rFonts w:asciiTheme="minorHAnsi" w:hAnsiTheme="minorHAnsi"/>
          <w:color w:val="000000"/>
        </w:rPr>
        <w:br/>
      </w:r>
      <w:r w:rsidRPr="00F561C5">
        <w:rPr>
          <w:rFonts w:asciiTheme="minorHAnsi" w:hAnsiTheme="minorHAnsi"/>
          <w:color w:val="201F1E"/>
          <w:sz w:val="23"/>
          <w:szCs w:val="23"/>
          <w:bdr w:val="none" w:sz="0" w:space="0" w:color="auto" w:frame="1"/>
          <w:shd w:val="clear" w:color="auto" w:fill="FFFFFF"/>
        </w:rPr>
        <w:t>VAPH  erkent dat de brieven veel later zijn verstuurd en heeft op de info sessies PVF-CF2 in Antwerpen  gesteld dat de datum van 25/12/2019 mag overschreden worden. Zolang hiervan geen schriftelijke bevestiging komt vanwege het VAPH,  toch best 25/12/2019 als uiterste datum  beschouwen.</w:t>
      </w:r>
      <w:r w:rsidR="00F561C5" w:rsidRPr="00F561C5">
        <w:rPr>
          <w:rFonts w:asciiTheme="minorHAnsi" w:hAnsiTheme="minorHAns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F561C5" w:rsidRPr="00F561C5" w:rsidRDefault="00F561C5" w:rsidP="00F561C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2"/>
          <w:szCs w:val="22"/>
        </w:rPr>
      </w:pPr>
      <w:r>
        <w:rPr>
          <w:rFonts w:asciiTheme="minorHAnsi" w:hAnsiTheme="minorHAnsi"/>
          <w:color w:val="201F1E"/>
          <w:sz w:val="23"/>
          <w:szCs w:val="23"/>
          <w:bdr w:val="none" w:sz="0" w:space="0" w:color="auto" w:frame="1"/>
          <w:shd w:val="clear" w:color="auto" w:fill="FFFFFF"/>
        </w:rPr>
        <w:t xml:space="preserve">Juridisch telt: </w:t>
      </w:r>
      <w:bookmarkStart w:id="0" w:name="_GoBack"/>
      <w:bookmarkEnd w:id="0"/>
      <w:r w:rsidRPr="00F561C5">
        <w:rPr>
          <w:rFonts w:asciiTheme="minorHAnsi" w:hAnsiTheme="minorHAnsi"/>
          <w:color w:val="212121"/>
          <w:sz w:val="22"/>
          <w:szCs w:val="22"/>
        </w:rPr>
        <w:t>men moet kijken naar de datum vermeld op de postzegel of de omslag, daaruit kan de datum van verzending worden afgeleid.</w:t>
      </w:r>
    </w:p>
    <w:p w:rsidR="00F561C5" w:rsidRPr="00F561C5" w:rsidRDefault="00F561C5" w:rsidP="00F561C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2"/>
          <w:szCs w:val="22"/>
        </w:rPr>
      </w:pPr>
      <w:r w:rsidRPr="00F561C5">
        <w:rPr>
          <w:rFonts w:asciiTheme="minorHAnsi" w:hAnsiTheme="minorHAnsi"/>
          <w:color w:val="212121"/>
          <w:sz w:val="22"/>
          <w:szCs w:val="22"/>
        </w:rPr>
        <w:t>Een vage toegeving (en dan nog mondeling) van de ambtenaren van het VAPH kan niet als basis dienen.</w:t>
      </w:r>
    </w:p>
    <w:p w:rsidR="00974CC8" w:rsidRPr="00974CC8" w:rsidRDefault="00974CC8" w:rsidP="00974C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nl-BE"/>
        </w:rPr>
      </w:pPr>
    </w:p>
    <w:p w:rsidR="00974CC8" w:rsidRPr="00974CC8" w:rsidRDefault="00974CC8" w:rsidP="00974C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01F1E"/>
          <w:sz w:val="23"/>
          <w:szCs w:val="23"/>
          <w:lang w:eastAsia="nl-BE"/>
        </w:rPr>
      </w:pPr>
    </w:p>
    <w:p w:rsidR="00974CC8" w:rsidRDefault="00974CC8" w:rsidP="00974C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nl-BE"/>
        </w:rPr>
      </w:pPr>
      <w:proofErr w:type="spellStart"/>
      <w:r w:rsidRPr="00974CC8">
        <w:rPr>
          <w:rFonts w:eastAsia="Times New Roman" w:cs="Times New Roman"/>
          <w:b/>
          <w:bCs/>
          <w:color w:val="201F1E"/>
          <w:sz w:val="23"/>
          <w:szCs w:val="23"/>
          <w:lang w:eastAsia="nl-BE"/>
        </w:rPr>
        <w:t>Bewindvoering</w:t>
      </w:r>
      <w:proofErr w:type="spellEnd"/>
      <w:r w:rsidRPr="00974CC8">
        <w:rPr>
          <w:rFonts w:eastAsia="Times New Roman" w:cs="Times New Roman"/>
          <w:color w:val="000000"/>
          <w:sz w:val="24"/>
          <w:szCs w:val="24"/>
          <w:lang w:eastAsia="nl-BE"/>
        </w:rPr>
        <w:br/>
      </w:r>
      <w:r w:rsidRPr="00974CC8">
        <w:rPr>
          <w:rFonts w:eastAsia="Times New Roman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nl-BE"/>
        </w:rPr>
        <w:t xml:space="preserve">Het vonnis van de </w:t>
      </w:r>
      <w:proofErr w:type="spellStart"/>
      <w:r w:rsidRPr="00974CC8">
        <w:rPr>
          <w:rFonts w:eastAsia="Times New Roman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nl-BE"/>
        </w:rPr>
        <w:t>bewindvoering</w:t>
      </w:r>
      <w:proofErr w:type="spellEnd"/>
      <w:r w:rsidRPr="00974CC8">
        <w:rPr>
          <w:rFonts w:eastAsia="Times New Roman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nl-BE"/>
        </w:rPr>
        <w:t xml:space="preserve"> moet gecontroleerd worden: in de meeste gevallen (en zeker waar het vroeger over verlengde minderjarigheid ging)  moet er een aan de vrederechter toestemming gevraagd worden  om rechtshandelingen te stellen. </w:t>
      </w:r>
      <w:r>
        <w:rPr>
          <w:rFonts w:eastAsia="Times New Roman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nl-BE"/>
        </w:rPr>
        <w:t>In andere gevallen volstaat het om een kopie van het formulier met beroep naar het vredegerecht te sturen. Bij twijfel: best vredegerecht contacteren alvorens beroep aan te tekenen!</w:t>
      </w:r>
    </w:p>
    <w:p w:rsidR="00974CC8" w:rsidRDefault="00974CC8" w:rsidP="00974C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nl-BE"/>
        </w:rPr>
      </w:pPr>
    </w:p>
    <w:p w:rsidR="00974CC8" w:rsidRPr="00974CC8" w:rsidRDefault="00974CC8" w:rsidP="00974C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nl-BE"/>
        </w:rPr>
      </w:pPr>
      <w:r w:rsidRPr="00974CC8">
        <w:rPr>
          <w:rFonts w:ascii="Calibri" w:eastAsia="Times New Roman" w:hAnsi="Calibri" w:cs="Times New Roman"/>
          <w:b/>
          <w:color w:val="323130"/>
          <w:sz w:val="24"/>
          <w:szCs w:val="24"/>
          <w:lang w:eastAsia="nl-BE"/>
        </w:rPr>
        <w:t>Wat kun je aanvechten</w:t>
      </w:r>
      <w:r>
        <w:rPr>
          <w:rFonts w:ascii="Calibri" w:eastAsia="Times New Roman" w:hAnsi="Calibri" w:cs="Times New Roman"/>
          <w:b/>
          <w:color w:val="323130"/>
          <w:sz w:val="24"/>
          <w:szCs w:val="24"/>
          <w:lang w:eastAsia="nl-BE"/>
        </w:rPr>
        <w:t>: a</w:t>
      </w:r>
      <w:r w:rsidRPr="00974CC8">
        <w:rPr>
          <w:rFonts w:eastAsia="Times New Roman" w:cs="Times New Roman"/>
          <w:b/>
          <w:bCs/>
          <w:color w:val="201F1E"/>
          <w:sz w:val="23"/>
          <w:szCs w:val="23"/>
          <w:lang w:eastAsia="nl-BE"/>
        </w:rPr>
        <w:t>rgumenten om het beroep te staven</w:t>
      </w:r>
      <w:r w:rsidRPr="00974CC8">
        <w:rPr>
          <w:rFonts w:eastAsia="Times New Roman" w:cs="Times New Roman"/>
          <w:color w:val="000000"/>
          <w:sz w:val="24"/>
          <w:szCs w:val="24"/>
          <w:lang w:eastAsia="nl-BE"/>
        </w:rPr>
        <w:br/>
      </w:r>
      <w:r w:rsidRPr="00974CC8">
        <w:rPr>
          <w:rFonts w:eastAsia="Times New Roman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nl-BE"/>
        </w:rPr>
        <w:t>Dit is cruciaal in het verhaal:  er moeten valabele argumenten worden opgegeven in het bezwaarschrift om de beslissing aan te vechten.</w:t>
      </w:r>
      <w:r w:rsidRPr="00974CC8">
        <w:rPr>
          <w:rFonts w:eastAsia="Times New Roman" w:cs="Times New Roman"/>
          <w:color w:val="000000"/>
          <w:sz w:val="24"/>
          <w:szCs w:val="24"/>
          <w:lang w:eastAsia="nl-BE"/>
        </w:rPr>
        <w:br/>
      </w:r>
      <w:r>
        <w:rPr>
          <w:rFonts w:eastAsia="Times New Roman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nl-BE"/>
        </w:rPr>
        <w:t xml:space="preserve"> </w:t>
      </w:r>
      <w:r>
        <w:rPr>
          <w:rFonts w:eastAsia="Times New Roman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nl-BE"/>
        </w:rPr>
        <w:tab/>
        <w:t xml:space="preserve">- </w:t>
      </w:r>
      <w:r w:rsidRPr="00974CC8">
        <w:rPr>
          <w:rFonts w:eastAsia="Times New Roman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nl-BE"/>
        </w:rPr>
        <w:t xml:space="preserve">Een belangrijk argument </w:t>
      </w:r>
      <w:r>
        <w:rPr>
          <w:rFonts w:eastAsia="Times New Roman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nl-BE"/>
        </w:rPr>
        <w:t>werd eerder</w:t>
      </w:r>
      <w:r w:rsidRPr="00974CC8">
        <w:rPr>
          <w:rFonts w:eastAsia="Times New Roman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nl-BE"/>
        </w:rPr>
        <w:t xml:space="preserve"> aangehaald in een van de ZOOM nieuwsbrieven:</w:t>
      </w:r>
      <w:r w:rsidRPr="00974CC8">
        <w:rPr>
          <w:rFonts w:eastAsia="Times New Roman" w:cs="Times New Roman"/>
          <w:color w:val="000000"/>
          <w:sz w:val="24"/>
          <w:szCs w:val="24"/>
          <w:lang w:eastAsia="nl-BE"/>
        </w:rPr>
        <w:br/>
      </w:r>
      <w:r>
        <w:rPr>
          <w:rFonts w:eastAsia="Times New Roman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nl-BE"/>
        </w:rPr>
        <w:t xml:space="preserve"> </w:t>
      </w:r>
      <w:r>
        <w:rPr>
          <w:rFonts w:eastAsia="Times New Roman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nl-BE"/>
        </w:rPr>
        <w:tab/>
        <w:t>‘</w:t>
      </w:r>
      <w:r w:rsidRPr="00974CC8">
        <w:rPr>
          <w:rFonts w:eastAsia="Times New Roman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nl-BE"/>
        </w:rPr>
        <w:t>. . .  nog steeds geen budget gebaseerd op een objectieve zorgzwaarte en zorgnood . . .</w:t>
      </w:r>
      <w:r>
        <w:rPr>
          <w:rFonts w:eastAsia="Times New Roman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nl-BE"/>
        </w:rPr>
        <w:t>’</w:t>
      </w:r>
    </w:p>
    <w:p w:rsidR="00974CC8" w:rsidRDefault="00974CC8" w:rsidP="00974CC8">
      <w:pPr>
        <w:shd w:val="clear" w:color="auto" w:fill="FFFFFF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color w:val="323130"/>
          <w:sz w:val="24"/>
          <w:szCs w:val="24"/>
          <w:lang w:eastAsia="nl-BE"/>
        </w:rPr>
      </w:pPr>
      <w:r>
        <w:rPr>
          <w:rFonts w:ascii="Calibri" w:eastAsia="Times New Roman" w:hAnsi="Calibri" w:cs="Times New Roman"/>
          <w:color w:val="323130"/>
          <w:sz w:val="24"/>
          <w:szCs w:val="24"/>
          <w:lang w:eastAsia="nl-BE"/>
        </w:rPr>
        <w:t xml:space="preserve">- </w:t>
      </w:r>
      <w:r w:rsidRPr="00974CC8">
        <w:rPr>
          <w:rFonts w:ascii="Calibri" w:eastAsia="Times New Roman" w:hAnsi="Calibri" w:cs="Times New Roman"/>
          <w:color w:val="323130"/>
          <w:sz w:val="24"/>
          <w:szCs w:val="24"/>
          <w:lang w:eastAsia="nl-BE"/>
        </w:rPr>
        <w:t>De puntenverdeling zoals aangegeven in de brief van de “2</w:t>
      </w:r>
      <w:r w:rsidRPr="00974CC8">
        <w:rPr>
          <w:rFonts w:ascii="Calibri" w:eastAsia="Times New Roman" w:hAnsi="Calibri" w:cs="Times New Roman"/>
          <w:color w:val="323130"/>
          <w:sz w:val="24"/>
          <w:szCs w:val="24"/>
          <w:vertAlign w:val="superscript"/>
          <w:lang w:eastAsia="nl-BE"/>
        </w:rPr>
        <w:t>de</w:t>
      </w:r>
      <w:r w:rsidRPr="00974CC8">
        <w:rPr>
          <w:rFonts w:ascii="Calibri" w:eastAsia="Times New Roman" w:hAnsi="Calibri" w:cs="Times New Roman"/>
          <w:color w:val="323130"/>
          <w:sz w:val="24"/>
          <w:szCs w:val="24"/>
          <w:bdr w:val="none" w:sz="0" w:space="0" w:color="auto" w:frame="1"/>
          <w:lang w:eastAsia="nl-BE"/>
        </w:rPr>
        <w:t> </w:t>
      </w:r>
      <w:r w:rsidRPr="00974CC8">
        <w:rPr>
          <w:rFonts w:ascii="Calibri" w:eastAsia="Times New Roman" w:hAnsi="Calibri" w:cs="Times New Roman"/>
          <w:color w:val="323130"/>
          <w:sz w:val="24"/>
          <w:szCs w:val="24"/>
          <w:lang w:eastAsia="nl-BE"/>
        </w:rPr>
        <w:t>ronde” van 25 september 2019 (p. 3).</w:t>
      </w:r>
      <w:r>
        <w:rPr>
          <w:rFonts w:ascii="Calibri" w:eastAsia="Times New Roman" w:hAnsi="Calibri" w:cs="Times New Roman"/>
          <w:color w:val="323130"/>
          <w:sz w:val="24"/>
          <w:szCs w:val="24"/>
          <w:lang w:eastAsia="nl-BE"/>
        </w:rPr>
        <w:t xml:space="preserve"> </w:t>
      </w:r>
    </w:p>
    <w:p w:rsidR="00974CC8" w:rsidRPr="00974CC8" w:rsidRDefault="00974CC8" w:rsidP="00974CC8">
      <w:pPr>
        <w:shd w:val="clear" w:color="auto" w:fill="FFFFFF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color w:val="323130"/>
          <w:sz w:val="24"/>
          <w:szCs w:val="24"/>
          <w:lang w:eastAsia="nl-BE"/>
        </w:rPr>
      </w:pPr>
      <w:r>
        <w:rPr>
          <w:rFonts w:ascii="Calibri" w:eastAsia="Times New Roman" w:hAnsi="Calibri" w:cs="Times New Roman"/>
          <w:color w:val="323130"/>
          <w:sz w:val="24"/>
          <w:szCs w:val="24"/>
          <w:lang w:eastAsia="nl-BE"/>
        </w:rPr>
        <w:t xml:space="preserve">- </w:t>
      </w:r>
      <w:r w:rsidRPr="00974CC8">
        <w:rPr>
          <w:rFonts w:ascii="Calibri" w:eastAsia="Times New Roman" w:hAnsi="Calibri" w:cs="Times New Roman"/>
          <w:color w:val="323130"/>
          <w:sz w:val="24"/>
          <w:szCs w:val="24"/>
          <w:lang w:eastAsia="nl-BE"/>
        </w:rPr>
        <w:t>De datum van de zorgzwaarte en zorggebruik op</w:t>
      </w:r>
      <w:r w:rsidRPr="00974CC8">
        <w:rPr>
          <w:rFonts w:ascii="Calibri" w:eastAsia="Times New Roman" w:hAnsi="Calibri" w:cs="Times New Roman"/>
          <w:color w:val="323130"/>
          <w:sz w:val="24"/>
          <w:szCs w:val="24"/>
          <w:bdr w:val="none" w:sz="0" w:space="0" w:color="auto" w:frame="1"/>
          <w:lang w:eastAsia="nl-BE"/>
        </w:rPr>
        <w:t> </w:t>
      </w:r>
      <w:r w:rsidRPr="00974CC8">
        <w:rPr>
          <w:rFonts w:ascii="Calibri" w:eastAsia="Times New Roman" w:hAnsi="Calibri" w:cs="Times New Roman"/>
          <w:color w:val="FF0000"/>
          <w:sz w:val="24"/>
          <w:szCs w:val="24"/>
          <w:bdr w:val="none" w:sz="0" w:space="0" w:color="auto" w:frame="1"/>
          <w:lang w:eastAsia="nl-BE"/>
        </w:rPr>
        <w:t>31/12/2016.</w:t>
      </w:r>
      <w:r w:rsidRPr="00974CC8">
        <w:rPr>
          <w:rFonts w:ascii="Calibri" w:eastAsia="Times New Roman" w:hAnsi="Calibri" w:cs="Times New Roman"/>
          <w:color w:val="323130"/>
          <w:sz w:val="24"/>
          <w:szCs w:val="24"/>
          <w:bdr w:val="none" w:sz="0" w:space="0" w:color="auto" w:frame="1"/>
          <w:lang w:eastAsia="nl-BE"/>
        </w:rPr>
        <w:t> </w:t>
      </w:r>
      <w:r w:rsidRPr="00974CC8">
        <w:rPr>
          <w:rFonts w:ascii="Calibri" w:eastAsia="Times New Roman" w:hAnsi="Calibri" w:cs="Times New Roman"/>
          <w:color w:val="323130"/>
          <w:sz w:val="24"/>
          <w:szCs w:val="24"/>
          <w:lang w:eastAsia="nl-BE"/>
        </w:rPr>
        <w:t>(Argument: komt niet meer overeen met de</w:t>
      </w:r>
      <w:r w:rsidRPr="00974CC8">
        <w:rPr>
          <w:rFonts w:ascii="Calibri" w:eastAsia="Times New Roman" w:hAnsi="Calibri" w:cs="Times New Roman"/>
          <w:color w:val="323130"/>
          <w:sz w:val="24"/>
          <w:szCs w:val="24"/>
          <w:bdr w:val="none" w:sz="0" w:space="0" w:color="auto" w:frame="1"/>
          <w:lang w:eastAsia="nl-BE"/>
        </w:rPr>
        <w:t> </w:t>
      </w:r>
      <w:r w:rsidRPr="00974CC8">
        <w:rPr>
          <w:rFonts w:ascii="Calibri" w:eastAsia="Times New Roman" w:hAnsi="Calibri" w:cs="Times New Roman"/>
          <w:color w:val="FF0000"/>
          <w:sz w:val="24"/>
          <w:szCs w:val="24"/>
          <w:bdr w:val="none" w:sz="0" w:space="0" w:color="auto" w:frame="1"/>
          <w:lang w:eastAsia="nl-BE"/>
        </w:rPr>
        <w:t>huidige</w:t>
      </w:r>
      <w:r w:rsidRPr="00974CC8">
        <w:rPr>
          <w:rFonts w:ascii="Calibri" w:eastAsia="Times New Roman" w:hAnsi="Calibri" w:cs="Times New Roman"/>
          <w:color w:val="323130"/>
          <w:sz w:val="24"/>
          <w:szCs w:val="24"/>
          <w:bdr w:val="none" w:sz="0" w:space="0" w:color="auto" w:frame="1"/>
          <w:lang w:eastAsia="nl-BE"/>
        </w:rPr>
        <w:t> </w:t>
      </w:r>
      <w:r w:rsidRPr="00974CC8">
        <w:rPr>
          <w:rFonts w:ascii="Calibri" w:eastAsia="Times New Roman" w:hAnsi="Calibri" w:cs="Times New Roman"/>
          <w:color w:val="323130"/>
          <w:sz w:val="24"/>
          <w:szCs w:val="24"/>
          <w:lang w:eastAsia="nl-BE"/>
        </w:rPr>
        <w:t>zorgzwaarte en zorggebruik.</w:t>
      </w:r>
      <w:r>
        <w:rPr>
          <w:rFonts w:ascii="Calibri" w:eastAsia="Times New Roman" w:hAnsi="Calibri" w:cs="Times New Roman"/>
          <w:color w:val="323130"/>
          <w:sz w:val="24"/>
          <w:szCs w:val="24"/>
          <w:lang w:eastAsia="nl-BE"/>
        </w:rPr>
        <w:t>)</w:t>
      </w:r>
    </w:p>
    <w:p w:rsidR="00974CC8" w:rsidRPr="00974CC8" w:rsidRDefault="00974CC8" w:rsidP="00974C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nl-BE"/>
        </w:rPr>
      </w:pPr>
    </w:p>
    <w:p w:rsidR="00974CC8" w:rsidRPr="00974CC8" w:rsidRDefault="00974CC8" w:rsidP="00974CC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nl-BE"/>
        </w:rPr>
      </w:pPr>
      <w:r w:rsidRPr="00974CC8">
        <w:rPr>
          <w:rFonts w:eastAsia="Times New Roman" w:cs="Times New Roman"/>
          <w:color w:val="000000"/>
          <w:sz w:val="24"/>
          <w:szCs w:val="24"/>
          <w:lang w:eastAsia="nl-BE"/>
        </w:rPr>
        <w:t>Best is ook  samen met een aantal gedupeerden </w:t>
      </w:r>
      <w:r w:rsidRPr="00974CC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nl-BE"/>
        </w:rPr>
        <w:t>op zoek</w:t>
      </w:r>
      <w:r w:rsidRPr="00974CC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nl-BE"/>
        </w:rPr>
        <w:t> </w:t>
      </w:r>
      <w:r w:rsidRPr="00974CC8">
        <w:rPr>
          <w:rFonts w:eastAsia="Times New Roman" w:cs="Times New Roman"/>
          <w:color w:val="000000"/>
          <w:sz w:val="24"/>
          <w:szCs w:val="24"/>
          <w:lang w:eastAsia="nl-BE"/>
        </w:rPr>
        <w:t>te gaan naar een advocaat met kennis van procedures arbeidsrechtbank. Zelfs met individuele procedures wordt het dan toch betaalbaarder.</w:t>
      </w:r>
    </w:p>
    <w:p w:rsidR="00137362" w:rsidRDefault="00137362"/>
    <w:p w:rsidR="001F43C9" w:rsidRPr="00137362" w:rsidRDefault="00137362">
      <w:pPr>
        <w:rPr>
          <w:sz w:val="24"/>
          <w:szCs w:val="24"/>
        </w:rPr>
      </w:pPr>
      <w:r w:rsidRPr="00137362">
        <w:rPr>
          <w:sz w:val="24"/>
          <w:szCs w:val="24"/>
        </w:rPr>
        <w:lastRenderedPageBreak/>
        <w:t>Een ZOOM lid bezorgde ons zelfs een voorbeeldbrief om dit beroep aan te tekenen bij de Arbeidsrechtbank. We staan niet in voor de juridische bruikbaarheid van dit model en raden u ten stelligste aan om hierover juridisch advies in te winnen en uw argumentatie degelijk te onderbouwen!</w:t>
      </w:r>
      <w:r w:rsidR="001F43C9" w:rsidRPr="00137362">
        <w:rPr>
          <w:sz w:val="24"/>
          <w:szCs w:val="24"/>
        </w:rPr>
        <w:br w:type="page"/>
      </w:r>
    </w:p>
    <w:p w:rsidR="001F43C9" w:rsidRDefault="001F43C9" w:rsidP="001F43C9">
      <w:pPr>
        <w:jc w:val="right"/>
      </w:pPr>
      <w:r>
        <w:lastRenderedPageBreak/>
        <w:t>(Plaats)</w:t>
      </w:r>
    </w:p>
    <w:p w:rsidR="00F561C5" w:rsidRDefault="00F561C5" w:rsidP="00F561C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F561C5" w:rsidRDefault="00F561C5" w:rsidP="00F561C5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Aan </w:t>
      </w:r>
      <w:r>
        <w:rPr>
          <w:rFonts w:ascii="Calibri" w:hAnsi="Calibri"/>
          <w:color w:val="212121"/>
          <w:sz w:val="22"/>
          <w:szCs w:val="22"/>
        </w:rPr>
        <w:t>De Dames en Heren Voorzitter en rechters van de arbeidsrechtbank.</w:t>
      </w:r>
    </w:p>
    <w:p w:rsidR="00F561C5" w:rsidRPr="00F561C5" w:rsidRDefault="00F561C5" w:rsidP="00F561C5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Calibri" w:hAnsi="Calibri"/>
          <w:i/>
          <w:color w:val="212121"/>
          <w:sz w:val="22"/>
          <w:szCs w:val="22"/>
        </w:rPr>
      </w:pPr>
      <w:r>
        <w:rPr>
          <w:rFonts w:ascii="Calibri" w:hAnsi="Calibri"/>
          <w:i/>
          <w:color w:val="212121"/>
          <w:sz w:val="22"/>
          <w:szCs w:val="22"/>
        </w:rPr>
        <w:t>(</w:t>
      </w:r>
      <w:r w:rsidRPr="00F561C5">
        <w:rPr>
          <w:rFonts w:ascii="Calibri" w:hAnsi="Calibri"/>
          <w:i/>
          <w:color w:val="212121"/>
          <w:sz w:val="22"/>
          <w:szCs w:val="22"/>
        </w:rPr>
        <w:t>Indien u zich alleen tot de voorzitter richt zou dat kunnen geïnterpreteerd worden als zijnde een procedure in kortgeding, wat het duidelijk niet is.</w:t>
      </w:r>
      <w:r>
        <w:rPr>
          <w:rFonts w:ascii="Calibri" w:hAnsi="Calibri"/>
          <w:i/>
          <w:color w:val="212121"/>
          <w:sz w:val="22"/>
          <w:szCs w:val="22"/>
        </w:rPr>
        <w:t>)</w:t>
      </w:r>
    </w:p>
    <w:p w:rsidR="001F43C9" w:rsidRPr="00F561C5" w:rsidRDefault="00F561C5" w:rsidP="00F561C5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  <w:r w:rsidR="001F43C9">
        <w:t>(Adres Arbeidsrechtbank)</w:t>
      </w:r>
    </w:p>
    <w:p w:rsidR="001F43C9" w:rsidRDefault="001F43C9"/>
    <w:p w:rsidR="001F43C9" w:rsidRDefault="001F43C9"/>
    <w:p w:rsidR="001F43C9" w:rsidRDefault="001F43C9">
      <w:r>
        <w:t xml:space="preserve">Mijnheer de Voorzitter, </w:t>
      </w:r>
    </w:p>
    <w:p w:rsidR="001F43C9" w:rsidRDefault="001F43C9"/>
    <w:p w:rsidR="001F43C9" w:rsidRDefault="001F43C9">
      <w:r>
        <w:t xml:space="preserve">Ondergetekende, </w:t>
      </w:r>
      <w:r w:rsidRPr="00137362">
        <w:rPr>
          <w:i/>
        </w:rPr>
        <w:t>(Persoon met de handicap - Naam en voornaam :)</w:t>
      </w:r>
      <w:r>
        <w:t xml:space="preserve">  </w:t>
      </w:r>
    </w:p>
    <w:p w:rsidR="001F43C9" w:rsidRDefault="001F43C9">
      <w:r>
        <w:t xml:space="preserve">Plaats en datum van geboorte : </w:t>
      </w:r>
    </w:p>
    <w:p w:rsidR="001F43C9" w:rsidRDefault="001F43C9">
      <w:r>
        <w:t xml:space="preserve">Wonende te : </w:t>
      </w:r>
    </w:p>
    <w:p w:rsidR="001F43C9" w:rsidRDefault="001F43C9"/>
    <w:p w:rsidR="001F43C9" w:rsidRDefault="001F43C9">
      <w:r>
        <w:t>Wettelijk Vertegenwoordigd door</w:t>
      </w:r>
    </w:p>
    <w:p w:rsidR="001F43C9" w:rsidRPr="00137362" w:rsidRDefault="001F43C9">
      <w:pPr>
        <w:rPr>
          <w:i/>
        </w:rPr>
      </w:pPr>
      <w:r w:rsidRPr="00137362">
        <w:rPr>
          <w:i/>
        </w:rPr>
        <w:t>(naam – adres – rijksregisternummer)</w:t>
      </w:r>
    </w:p>
    <w:p w:rsidR="001F43C9" w:rsidRDefault="001F43C9"/>
    <w:p w:rsidR="001F43C9" w:rsidRDefault="001F43C9">
      <w:r>
        <w:t xml:space="preserve">Tekent hierbij beroep aan tegen de beslissing van : </w:t>
      </w:r>
      <w:r w:rsidRPr="00137362">
        <w:rPr>
          <w:i/>
        </w:rPr>
        <w:t>(datum brief CF2 van het VAPH)</w:t>
      </w:r>
    </w:p>
    <w:p w:rsidR="001F43C9" w:rsidRPr="00137362" w:rsidRDefault="001F43C9">
      <w:pPr>
        <w:rPr>
          <w:i/>
        </w:rPr>
      </w:pPr>
      <w:r>
        <w:t xml:space="preserve">Met referte: </w:t>
      </w:r>
      <w:r w:rsidRPr="00137362">
        <w:rPr>
          <w:i/>
        </w:rPr>
        <w:t>(VAPH nummer – ‘ons kenmerk in VAPH brief’)</w:t>
      </w:r>
    </w:p>
    <w:p w:rsidR="00137362" w:rsidRDefault="00137362"/>
    <w:p w:rsidR="001F43C9" w:rsidRDefault="001F43C9">
      <w:r>
        <w:t>0m volgende redenen : (argumentatie!!)</w:t>
      </w:r>
    </w:p>
    <w:p w:rsidR="001F43C9" w:rsidRDefault="001F43C9"/>
    <w:p w:rsidR="001F43C9" w:rsidRDefault="001F43C9"/>
    <w:p w:rsidR="001F43C9" w:rsidRDefault="001F43C9"/>
    <w:p w:rsidR="001F43C9" w:rsidRDefault="001F43C9">
      <w:r>
        <w:t xml:space="preserve">(Plaats  - datum): </w:t>
      </w:r>
    </w:p>
    <w:p w:rsidR="00E9543F" w:rsidRDefault="001F43C9">
      <w:r>
        <w:t>Handtekening</w:t>
      </w:r>
      <w:r w:rsidR="00137362">
        <w:t xml:space="preserve"> Budgethouder</w:t>
      </w:r>
    </w:p>
    <w:sectPr w:rsidR="00E9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07EB2"/>
    <w:multiLevelType w:val="hybridMultilevel"/>
    <w:tmpl w:val="FB2A217A"/>
    <w:lvl w:ilvl="0" w:tplc="9CCE0D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C8"/>
    <w:rsid w:val="00137362"/>
    <w:rsid w:val="001F43C9"/>
    <w:rsid w:val="00974CC8"/>
    <w:rsid w:val="00E9543F"/>
    <w:rsid w:val="00F5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6BD0"/>
  <w15:chartTrackingRefBased/>
  <w15:docId w15:val="{61D9CBFD-81B3-4DA3-A3FD-55BB286D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7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97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74CC8"/>
    <w:pPr>
      <w:ind w:left="720"/>
      <w:contextualSpacing/>
    </w:pPr>
  </w:style>
  <w:style w:type="paragraph" w:customStyle="1" w:styleId="xmsonormal">
    <w:name w:val="x_msonormal"/>
    <w:basedOn w:val="Standaard"/>
    <w:rsid w:val="00F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Goossens</dc:creator>
  <cp:keywords/>
  <dc:description/>
  <cp:lastModifiedBy>Bert Goossens</cp:lastModifiedBy>
  <cp:revision>3</cp:revision>
  <dcterms:created xsi:type="dcterms:W3CDTF">2019-11-30T20:14:00Z</dcterms:created>
  <dcterms:modified xsi:type="dcterms:W3CDTF">2019-12-03T13:55:00Z</dcterms:modified>
</cp:coreProperties>
</file>